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14F30" w14:textId="77777777" w:rsidR="00DD3B46" w:rsidRPr="00DD3B46" w:rsidRDefault="007E0CA0" w:rsidP="00DD3B46">
      <w:pPr>
        <w:spacing w:after="0" w:line="240" w:lineRule="auto"/>
        <w:jc w:val="center"/>
        <w:rPr>
          <w:rFonts w:ascii="Times New Roman" w:hAnsi="Times New Roman"/>
          <w:szCs w:val="20"/>
          <w:lang w:val="en-IE"/>
        </w:rPr>
      </w:pPr>
      <w:r w:rsidRPr="00DD3B46">
        <w:rPr>
          <w:rFonts w:ascii="Times New Roman" w:hAnsi="Times New Roman"/>
          <w:szCs w:val="20"/>
          <w:lang w:val="en-IE"/>
        </w:rPr>
        <w:t>CASTELLAIN ICAV</w:t>
      </w:r>
    </w:p>
    <w:p w14:paraId="1C57DFFF" w14:textId="77777777" w:rsidR="00DD3B46" w:rsidRPr="00DD3B46" w:rsidRDefault="007E0CA0" w:rsidP="00DD3B46">
      <w:pPr>
        <w:spacing w:after="0" w:line="240" w:lineRule="auto"/>
        <w:jc w:val="center"/>
        <w:rPr>
          <w:rFonts w:ascii="Times New Roman" w:hAnsi="Times New Roman"/>
          <w:szCs w:val="20"/>
          <w:lang w:val="en-IE"/>
        </w:rPr>
      </w:pPr>
      <w:r w:rsidRPr="00DD3B46">
        <w:rPr>
          <w:rFonts w:ascii="Times New Roman" w:hAnsi="Times New Roman"/>
          <w:szCs w:val="20"/>
          <w:lang w:val="en-IE"/>
        </w:rPr>
        <w:t>(THE "ICAV")</w:t>
      </w:r>
    </w:p>
    <w:p w14:paraId="72390157" w14:textId="77777777" w:rsidR="00DD3B46" w:rsidRDefault="007E0CA0" w:rsidP="00DD3B46">
      <w:pPr>
        <w:spacing w:after="0" w:line="240" w:lineRule="auto"/>
        <w:jc w:val="center"/>
        <w:rPr>
          <w:rFonts w:ascii="Times New Roman" w:hAnsi="Times New Roman"/>
          <w:szCs w:val="20"/>
          <w:lang w:val="en-IE"/>
        </w:rPr>
      </w:pPr>
      <w:r w:rsidRPr="00DD3B46">
        <w:rPr>
          <w:rFonts w:ascii="Times New Roman" w:hAnsi="Times New Roman"/>
          <w:szCs w:val="20"/>
          <w:lang w:val="en-IE"/>
        </w:rPr>
        <w:t>REMUNERATION POLICY</w:t>
      </w:r>
    </w:p>
    <w:p w14:paraId="0FF5604B" w14:textId="77777777" w:rsidR="00DD3B46" w:rsidRDefault="0020032C">
      <w:pPr>
        <w:spacing w:after="0" w:line="240" w:lineRule="auto"/>
        <w:jc w:val="both"/>
        <w:rPr>
          <w:rFonts w:ascii="Times New Roman" w:hAnsi="Times New Roman"/>
          <w:szCs w:val="20"/>
          <w:lang w:val="en-IE"/>
        </w:rPr>
      </w:pPr>
    </w:p>
    <w:p w14:paraId="537BD01F" w14:textId="77777777" w:rsidR="00DD3B46" w:rsidRDefault="0020032C">
      <w:pPr>
        <w:spacing w:after="0" w:line="240" w:lineRule="auto"/>
        <w:jc w:val="both"/>
        <w:rPr>
          <w:rFonts w:ascii="Times New Roman" w:hAnsi="Times New Roman"/>
          <w:szCs w:val="20"/>
          <w:lang w:val="en-IE"/>
        </w:rPr>
      </w:pPr>
    </w:p>
    <w:p w14:paraId="4FEC1BEA" w14:textId="77777777" w:rsidR="00591A25" w:rsidRDefault="007E0CA0">
      <w:pPr>
        <w:spacing w:after="0" w:line="240" w:lineRule="auto"/>
        <w:jc w:val="both"/>
        <w:rPr>
          <w:rFonts w:ascii="Times New Roman" w:hAnsi="Times New Roman"/>
          <w:szCs w:val="20"/>
          <w:lang w:val="en-IE"/>
        </w:rPr>
      </w:pPr>
      <w:r>
        <w:rPr>
          <w:rFonts w:ascii="Times New Roman" w:hAnsi="Times New Roman"/>
          <w:szCs w:val="20"/>
          <w:lang w:val="en-IE"/>
        </w:rPr>
        <w:t>In accordance with its obligations pursuant to the UCITS Regulations, which is in compliance with the ESMA Guidelines, the ICAV is required to have remuneration policies and practices for those categories of staff, including senior management, risk takers, control functions, and any employees receiving total remuneration that takes them into the same remuneration bracket as senior management and risk takers whose professional activities have a material impact on the risk profiles of the ICAV (“Identified Staff”), that are consistent with and promote sound and effective risk management and do not encourage risk-taking which is inconsistent with the risk profiles, rules or instruments of incorporation of the ICAV.</w:t>
      </w:r>
    </w:p>
    <w:p w14:paraId="2FF7B401" w14:textId="77777777" w:rsidR="00591A25" w:rsidRDefault="0020032C">
      <w:pPr>
        <w:spacing w:after="0" w:line="240" w:lineRule="auto"/>
        <w:jc w:val="both"/>
        <w:rPr>
          <w:rFonts w:ascii="Times New Roman" w:hAnsi="Times New Roman"/>
          <w:szCs w:val="20"/>
          <w:lang w:val="en-IE"/>
        </w:rPr>
      </w:pPr>
    </w:p>
    <w:p w14:paraId="4CC15597" w14:textId="77777777" w:rsidR="00591A25" w:rsidRDefault="007E0CA0">
      <w:pPr>
        <w:spacing w:after="0" w:line="240" w:lineRule="auto"/>
        <w:jc w:val="both"/>
        <w:rPr>
          <w:rFonts w:ascii="Times New Roman" w:hAnsi="Times New Roman"/>
          <w:szCs w:val="20"/>
          <w:lang w:val="en-IE"/>
        </w:rPr>
      </w:pPr>
      <w:r>
        <w:rPr>
          <w:rFonts w:ascii="Times New Roman" w:hAnsi="Times New Roman"/>
          <w:szCs w:val="20"/>
          <w:lang w:val="en-IE"/>
        </w:rPr>
        <w:t xml:space="preserve">The ICAV has established this remuneration policy in accordance with the requirements of the UCITS Regulations to the extent that it is appropriate to its size, internal organisation and the nature, </w:t>
      </w:r>
      <w:proofErr w:type="gramStart"/>
      <w:r>
        <w:rPr>
          <w:rFonts w:ascii="Times New Roman" w:hAnsi="Times New Roman"/>
          <w:szCs w:val="20"/>
          <w:lang w:val="en-IE"/>
        </w:rPr>
        <w:t>scope</w:t>
      </w:r>
      <w:proofErr w:type="gramEnd"/>
      <w:r>
        <w:rPr>
          <w:rFonts w:ascii="Times New Roman" w:hAnsi="Times New Roman"/>
          <w:szCs w:val="20"/>
          <w:lang w:val="en-IE"/>
        </w:rPr>
        <w:t xml:space="preserve"> and complexities of its activities.</w:t>
      </w:r>
    </w:p>
    <w:p w14:paraId="2FFD69C8" w14:textId="77777777" w:rsidR="00DD3B46" w:rsidRDefault="0020032C">
      <w:pPr>
        <w:spacing w:after="0" w:line="240" w:lineRule="auto"/>
        <w:jc w:val="both"/>
        <w:rPr>
          <w:rFonts w:ascii="Times New Roman" w:hAnsi="Times New Roman"/>
          <w:szCs w:val="20"/>
          <w:lang w:val="en-IE"/>
        </w:rPr>
      </w:pPr>
    </w:p>
    <w:p w14:paraId="27CFF506" w14:textId="49BF8A0A" w:rsidR="00DD3B46" w:rsidRDefault="007E0CA0" w:rsidP="00DD3B46">
      <w:pPr>
        <w:spacing w:after="0" w:line="240" w:lineRule="auto"/>
        <w:jc w:val="both"/>
        <w:rPr>
          <w:rFonts w:ascii="Times New Roman" w:hAnsi="Times New Roman"/>
          <w:szCs w:val="20"/>
          <w:lang w:val="en-IE"/>
        </w:rPr>
      </w:pPr>
      <w:r w:rsidRPr="00DD3B46">
        <w:rPr>
          <w:rFonts w:ascii="Times New Roman" w:hAnsi="Times New Roman"/>
          <w:szCs w:val="20"/>
          <w:lang w:val="en-IE"/>
        </w:rPr>
        <w:t>In compliance with the Sustainable Finance Disclosure Regulation (EU) 2019/2088 (“SFDR”) the ICAV has published on its website (</w:t>
      </w:r>
      <w:r w:rsidRPr="007E0CA0">
        <w:rPr>
          <w:rFonts w:ascii="Times New Roman" w:hAnsi="Times New Roman"/>
          <w:szCs w:val="20"/>
          <w:lang w:val="en-IE"/>
        </w:rPr>
        <w:t>https://www.cascap.co.uk/regulatory-disclosures/</w:t>
      </w:r>
      <w:r w:rsidRPr="00DD3B46">
        <w:rPr>
          <w:rFonts w:ascii="Times New Roman" w:hAnsi="Times New Roman"/>
          <w:szCs w:val="20"/>
          <w:lang w:val="en-IE"/>
        </w:rPr>
        <w:t>) its policies on the integration of sustainability risks in the Castellain Income Fund and Castellain Value Fund (the "Funds") investment decision making process. The ICAV’s remuneration policy is in line with its sustainability policies.</w:t>
      </w:r>
    </w:p>
    <w:p w14:paraId="6FF7B913" w14:textId="77777777" w:rsidR="00591A25" w:rsidRDefault="0020032C">
      <w:pPr>
        <w:spacing w:after="0" w:line="240" w:lineRule="auto"/>
        <w:jc w:val="both"/>
        <w:rPr>
          <w:rFonts w:ascii="Times New Roman" w:hAnsi="Times New Roman"/>
          <w:szCs w:val="20"/>
          <w:lang w:val="en-IE"/>
        </w:rPr>
      </w:pPr>
    </w:p>
    <w:p w14:paraId="0D83FC33" w14:textId="77777777" w:rsidR="00591A25" w:rsidRDefault="007E0CA0">
      <w:pPr>
        <w:spacing w:after="0" w:line="240" w:lineRule="auto"/>
        <w:jc w:val="both"/>
        <w:rPr>
          <w:rFonts w:ascii="Times New Roman" w:hAnsi="Times New Roman"/>
          <w:szCs w:val="20"/>
          <w:lang w:val="en-IE"/>
        </w:rPr>
      </w:pPr>
      <w:r>
        <w:rPr>
          <w:rFonts w:ascii="Times New Roman" w:hAnsi="Times New Roman"/>
          <w:szCs w:val="20"/>
          <w:lang w:val="en-IE"/>
        </w:rPr>
        <w:t>This remuneration policy has been adopted by the Board and any revisions to this remuneration policy requires approval of the Board.</w:t>
      </w:r>
    </w:p>
    <w:p w14:paraId="1B6EF264" w14:textId="77777777" w:rsidR="00591A25" w:rsidRDefault="0020032C">
      <w:pPr>
        <w:spacing w:after="0" w:line="240" w:lineRule="auto"/>
        <w:jc w:val="both"/>
        <w:rPr>
          <w:rFonts w:ascii="Times New Roman" w:hAnsi="Times New Roman"/>
          <w:b/>
          <w:szCs w:val="20"/>
          <w:lang w:val="en-IE"/>
        </w:rPr>
      </w:pPr>
    </w:p>
    <w:p w14:paraId="0A55B335" w14:textId="77777777" w:rsidR="00591A25" w:rsidRDefault="007E0CA0">
      <w:pPr>
        <w:spacing w:after="0" w:line="240" w:lineRule="auto"/>
        <w:jc w:val="both"/>
        <w:rPr>
          <w:rFonts w:ascii="Times New Roman" w:hAnsi="Times New Roman"/>
          <w:b/>
          <w:szCs w:val="20"/>
          <w:lang w:val="en-IE"/>
        </w:rPr>
      </w:pPr>
      <w:r>
        <w:rPr>
          <w:rFonts w:ascii="Times New Roman" w:hAnsi="Times New Roman"/>
          <w:b/>
          <w:szCs w:val="20"/>
          <w:lang w:val="en-IE"/>
        </w:rPr>
        <w:t>Persons subject to the Policy</w:t>
      </w:r>
    </w:p>
    <w:p w14:paraId="14C8B9AB" w14:textId="77777777" w:rsidR="00591A25" w:rsidRDefault="007E0CA0">
      <w:pPr>
        <w:spacing w:after="0" w:line="240" w:lineRule="auto"/>
        <w:jc w:val="both"/>
      </w:pPr>
      <w:r>
        <w:rPr>
          <w:rFonts w:ascii="Times New Roman" w:hAnsi="Times New Roman"/>
          <w:szCs w:val="20"/>
          <w:lang w:val="en-IE"/>
        </w:rPr>
        <w:t xml:space="preserve">The ICAV does not have any employees other than the directors, who act in a non-executive capacity. The ICAV has appointed KB Associates to discharge certain management functions on its behalf. In this regard, KB Associates has seconded two </w:t>
      </w:r>
      <w:r>
        <w:rPr>
          <w:rFonts w:ascii="Times New Roman" w:hAnsi="Times New Roman"/>
          <w:szCs w:val="20"/>
          <w:lang w:val="en-IE" w:eastAsia="en-IE"/>
        </w:rPr>
        <w:t>Designated Persons to the ICAV.</w:t>
      </w:r>
    </w:p>
    <w:p w14:paraId="73879E8C" w14:textId="77777777" w:rsidR="00591A25" w:rsidRDefault="0020032C">
      <w:pPr>
        <w:spacing w:after="0" w:line="240" w:lineRule="auto"/>
        <w:jc w:val="both"/>
        <w:rPr>
          <w:rFonts w:ascii="Times New Roman" w:hAnsi="Times New Roman"/>
          <w:szCs w:val="20"/>
          <w:lang w:val="en-IE"/>
        </w:rPr>
      </w:pPr>
    </w:p>
    <w:p w14:paraId="34DA615D" w14:textId="77777777" w:rsidR="00591A25" w:rsidRDefault="007E0CA0">
      <w:pPr>
        <w:spacing w:after="0" w:line="240" w:lineRule="auto"/>
        <w:jc w:val="both"/>
        <w:rPr>
          <w:rFonts w:ascii="Times New Roman" w:hAnsi="Times New Roman"/>
          <w:szCs w:val="20"/>
          <w:lang w:val="en-IE"/>
        </w:rPr>
      </w:pPr>
      <w:r>
        <w:rPr>
          <w:rFonts w:ascii="Times New Roman" w:hAnsi="Times New Roman"/>
          <w:szCs w:val="20"/>
          <w:lang w:val="en-IE"/>
        </w:rPr>
        <w:t xml:space="preserve">Therefore, the directors and the Designated Persons are the only “Identified Staff” of the ICAV. </w:t>
      </w:r>
    </w:p>
    <w:p w14:paraId="38D5F40B" w14:textId="77777777" w:rsidR="00591A25" w:rsidRDefault="0020032C">
      <w:pPr>
        <w:pStyle w:val="Default"/>
        <w:jc w:val="both"/>
        <w:rPr>
          <w:rFonts w:ascii="Times New Roman" w:hAnsi="Times New Roman" w:cs="Times New Roman"/>
          <w:color w:val="auto"/>
          <w:sz w:val="20"/>
          <w:szCs w:val="20"/>
        </w:rPr>
      </w:pPr>
    </w:p>
    <w:p w14:paraId="030019E0" w14:textId="77777777" w:rsidR="00591A25" w:rsidRDefault="007E0CA0">
      <w:pPr>
        <w:pStyle w:val="Default"/>
        <w:jc w:val="both"/>
        <w:rPr>
          <w:rFonts w:ascii="Times New Roman" w:hAnsi="Times New Roman" w:cs="Times New Roman"/>
          <w:sz w:val="22"/>
          <w:szCs w:val="20"/>
        </w:rPr>
      </w:pPr>
      <w:r>
        <w:rPr>
          <w:rFonts w:ascii="Times New Roman" w:hAnsi="Times New Roman" w:cs="Times New Roman"/>
          <w:sz w:val="22"/>
          <w:szCs w:val="20"/>
        </w:rPr>
        <w:t>It is noted that the UCITS Regulations outline that the remuneration policies and practices should apply, in a proportionate manner, to any third party which takes investment decisions that affect the risk profile of a UCITS because of functions which have been delegated in accordance with the UCITS Regulations.</w:t>
      </w:r>
    </w:p>
    <w:p w14:paraId="35ED4B9E" w14:textId="77777777" w:rsidR="00591A25" w:rsidRDefault="0020032C">
      <w:pPr>
        <w:spacing w:after="0" w:line="240" w:lineRule="auto"/>
        <w:jc w:val="both"/>
        <w:rPr>
          <w:rFonts w:ascii="Times New Roman" w:hAnsi="Times New Roman"/>
          <w:color w:val="000000"/>
          <w:szCs w:val="20"/>
          <w:lang w:val="en-IE"/>
        </w:rPr>
      </w:pPr>
    </w:p>
    <w:p w14:paraId="6B7AAA70" w14:textId="77777777" w:rsidR="00591A25" w:rsidRDefault="007E0CA0">
      <w:pPr>
        <w:spacing w:after="0" w:line="240" w:lineRule="auto"/>
        <w:jc w:val="both"/>
        <w:rPr>
          <w:rFonts w:ascii="Times New Roman" w:hAnsi="Times New Roman"/>
          <w:szCs w:val="20"/>
          <w:lang w:val="en-IE"/>
        </w:rPr>
      </w:pPr>
      <w:r>
        <w:rPr>
          <w:rFonts w:ascii="Times New Roman" w:hAnsi="Times New Roman"/>
          <w:szCs w:val="20"/>
          <w:lang w:val="en-IE"/>
        </w:rPr>
        <w:t>The ICAV will ensure:</w:t>
      </w:r>
    </w:p>
    <w:p w14:paraId="5BE98AD0" w14:textId="77777777" w:rsidR="00591A25" w:rsidRDefault="007E0CA0">
      <w:pPr>
        <w:spacing w:after="0" w:line="240" w:lineRule="auto"/>
        <w:ind w:left="709" w:hanging="425"/>
        <w:jc w:val="both"/>
        <w:rPr>
          <w:rFonts w:ascii="Times New Roman" w:hAnsi="Times New Roman"/>
          <w:szCs w:val="20"/>
          <w:lang w:val="en-IE"/>
        </w:rPr>
      </w:pPr>
      <w:r>
        <w:rPr>
          <w:rFonts w:ascii="Times New Roman" w:hAnsi="Times New Roman"/>
          <w:szCs w:val="20"/>
          <w:lang w:val="en-IE"/>
        </w:rPr>
        <w:t>•</w:t>
      </w:r>
      <w:r>
        <w:rPr>
          <w:rFonts w:ascii="Times New Roman" w:hAnsi="Times New Roman"/>
          <w:szCs w:val="20"/>
          <w:lang w:val="en-IE"/>
        </w:rPr>
        <w:tab/>
        <w:t>that entities to which investment management activities have been delegated are subject to regulatory requirements on remuneration that are equally as effective as those applicable under the ESMA Guidelines; or</w:t>
      </w:r>
    </w:p>
    <w:p w14:paraId="297F3EC8" w14:textId="77777777" w:rsidR="00591A25" w:rsidRDefault="007E0CA0">
      <w:pPr>
        <w:spacing w:after="0" w:line="240" w:lineRule="auto"/>
        <w:ind w:left="709" w:hanging="425"/>
        <w:jc w:val="both"/>
        <w:rPr>
          <w:rFonts w:ascii="Times New Roman" w:hAnsi="Times New Roman"/>
          <w:szCs w:val="20"/>
          <w:lang w:val="en-IE"/>
        </w:rPr>
      </w:pPr>
      <w:r>
        <w:rPr>
          <w:rFonts w:ascii="Times New Roman" w:hAnsi="Times New Roman"/>
          <w:szCs w:val="20"/>
          <w:lang w:val="en-IE"/>
        </w:rPr>
        <w:t>•</w:t>
      </w:r>
      <w:r>
        <w:rPr>
          <w:rFonts w:ascii="Times New Roman" w:hAnsi="Times New Roman"/>
          <w:szCs w:val="20"/>
          <w:lang w:val="en-IE"/>
        </w:rPr>
        <w:tab/>
        <w:t xml:space="preserve">Appropriate contractual arrangements are put in place with entities to which investment management is delegated to ensure that the UCITS remuneration rules are not circumvented. These contractual arrangements relate to any payments made to a delegates’ identified staff as compensation for performance of investment management activities on behalf of the </w:t>
      </w:r>
      <w:proofErr w:type="gramStart"/>
      <w:r>
        <w:rPr>
          <w:rFonts w:ascii="Times New Roman" w:hAnsi="Times New Roman"/>
          <w:szCs w:val="20"/>
          <w:lang w:val="en-IE"/>
        </w:rPr>
        <w:t>ICAV</w:t>
      </w:r>
      <w:proofErr w:type="gramEnd"/>
    </w:p>
    <w:p w14:paraId="119843BE" w14:textId="77777777" w:rsidR="00591A25" w:rsidRDefault="0020032C">
      <w:pPr>
        <w:pStyle w:val="Default"/>
        <w:jc w:val="both"/>
        <w:rPr>
          <w:rFonts w:ascii="Times New Roman" w:hAnsi="Times New Roman" w:cs="Times New Roman"/>
          <w:color w:val="auto"/>
          <w:sz w:val="22"/>
          <w:szCs w:val="20"/>
        </w:rPr>
      </w:pPr>
    </w:p>
    <w:p w14:paraId="196B95A2" w14:textId="77777777" w:rsidR="00591A25" w:rsidRDefault="007E0CA0">
      <w:pPr>
        <w:spacing w:after="0" w:line="240" w:lineRule="auto"/>
        <w:jc w:val="both"/>
      </w:pPr>
      <w:r>
        <w:rPr>
          <w:rFonts w:ascii="Times New Roman" w:hAnsi="Times New Roman"/>
          <w:szCs w:val="20"/>
          <w:lang w:val="en-IE"/>
        </w:rPr>
        <w:t xml:space="preserve">In line with the requirements of the ESMA Guidelines, the ICAV has confirmed that the entities to which investment management activities have been delegated are subject to regulatory requirements on remuneration that are equally as effective as those applicable under the ESMA Guidelines. </w:t>
      </w:r>
    </w:p>
    <w:p w14:paraId="4F5837E0" w14:textId="77777777" w:rsidR="00591A25" w:rsidRDefault="0020032C">
      <w:pPr>
        <w:spacing w:after="0" w:line="240" w:lineRule="auto"/>
        <w:jc w:val="both"/>
        <w:rPr>
          <w:rFonts w:ascii="Times New Roman" w:hAnsi="Times New Roman"/>
          <w:szCs w:val="20"/>
          <w:lang w:val="en-IE"/>
        </w:rPr>
      </w:pPr>
    </w:p>
    <w:p w14:paraId="066465EB" w14:textId="77777777" w:rsidR="00591A25" w:rsidRDefault="007E0CA0">
      <w:pPr>
        <w:spacing w:after="0" w:line="240" w:lineRule="auto"/>
        <w:jc w:val="both"/>
        <w:rPr>
          <w:rFonts w:ascii="Times New Roman" w:hAnsi="Times New Roman"/>
          <w:szCs w:val="20"/>
          <w:u w:val="single"/>
          <w:lang w:val="en-IE"/>
        </w:rPr>
      </w:pPr>
      <w:r>
        <w:rPr>
          <w:rFonts w:ascii="Times New Roman" w:hAnsi="Times New Roman"/>
          <w:szCs w:val="20"/>
          <w:u w:val="single"/>
          <w:lang w:val="en-IE"/>
        </w:rPr>
        <w:t>Directors</w:t>
      </w:r>
    </w:p>
    <w:p w14:paraId="54A69E2B" w14:textId="77777777" w:rsidR="00591A25" w:rsidRDefault="007E0CA0">
      <w:pPr>
        <w:spacing w:after="0" w:line="240" w:lineRule="auto"/>
        <w:jc w:val="both"/>
        <w:rPr>
          <w:rFonts w:ascii="Times New Roman" w:hAnsi="Times New Roman"/>
          <w:szCs w:val="20"/>
          <w:lang w:val="en-IE"/>
        </w:rPr>
      </w:pPr>
      <w:r>
        <w:rPr>
          <w:rFonts w:ascii="Times New Roman" w:hAnsi="Times New Roman"/>
          <w:szCs w:val="20"/>
          <w:lang w:val="en-IE"/>
        </w:rPr>
        <w:t xml:space="preserve">The directors of the ICAV who are independent of the Investment Manager receive a fixed fee only and do not receive performance-based remuneration therefore avoiding a potential conflict of interest. The directors of the ICAV who </w:t>
      </w:r>
      <w:proofErr w:type="gramStart"/>
      <w:r>
        <w:rPr>
          <w:rFonts w:ascii="Times New Roman" w:hAnsi="Times New Roman"/>
          <w:szCs w:val="20"/>
          <w:lang w:val="en-IE"/>
        </w:rPr>
        <w:t>are also employees of the Investment Manager</w:t>
      </w:r>
      <w:proofErr w:type="gramEnd"/>
      <w:r>
        <w:rPr>
          <w:rFonts w:ascii="Times New Roman" w:hAnsi="Times New Roman"/>
          <w:szCs w:val="20"/>
          <w:lang w:val="en-IE"/>
        </w:rPr>
        <w:t xml:space="preserve"> do not receive any fee. The </w:t>
      </w:r>
      <w:r>
        <w:rPr>
          <w:rFonts w:ascii="Times New Roman" w:hAnsi="Times New Roman"/>
          <w:szCs w:val="20"/>
          <w:lang w:val="en-IE"/>
        </w:rPr>
        <w:lastRenderedPageBreak/>
        <w:t xml:space="preserve">basic fee of a Board member is set at a level that is on par with the rest of the market and reflects the qualifications and contribution required in view of the ICAV’s complexity, the extent of the responsibilities and the number of board meetings. No pension contributions are payable </w:t>
      </w:r>
      <w:proofErr w:type="gramStart"/>
      <w:r>
        <w:rPr>
          <w:rFonts w:ascii="Times New Roman" w:hAnsi="Times New Roman"/>
          <w:szCs w:val="20"/>
          <w:lang w:val="en-IE"/>
        </w:rPr>
        <w:t>on Board</w:t>
      </w:r>
      <w:proofErr w:type="gramEnd"/>
      <w:r>
        <w:rPr>
          <w:rFonts w:ascii="Times New Roman" w:hAnsi="Times New Roman"/>
          <w:szCs w:val="20"/>
          <w:lang w:val="en-IE"/>
        </w:rPr>
        <w:t xml:space="preserve"> members’ fees. </w:t>
      </w:r>
    </w:p>
    <w:p w14:paraId="170EC17F" w14:textId="77777777" w:rsidR="00591A25" w:rsidRDefault="0020032C">
      <w:pPr>
        <w:spacing w:after="0" w:line="240" w:lineRule="auto"/>
        <w:jc w:val="both"/>
        <w:rPr>
          <w:rFonts w:ascii="Times New Roman" w:hAnsi="Times New Roman"/>
          <w:szCs w:val="20"/>
          <w:lang w:val="en-IE"/>
        </w:rPr>
      </w:pPr>
    </w:p>
    <w:p w14:paraId="2C21F1DD" w14:textId="77777777" w:rsidR="00591A25" w:rsidRDefault="007E0CA0">
      <w:pPr>
        <w:spacing w:after="0" w:line="240" w:lineRule="auto"/>
        <w:jc w:val="both"/>
        <w:rPr>
          <w:rFonts w:ascii="Times New Roman" w:hAnsi="Times New Roman"/>
          <w:szCs w:val="20"/>
          <w:u w:val="single"/>
          <w:lang w:val="en-IE"/>
        </w:rPr>
      </w:pPr>
      <w:r>
        <w:rPr>
          <w:rFonts w:ascii="Times New Roman" w:hAnsi="Times New Roman"/>
          <w:szCs w:val="20"/>
          <w:u w:val="single"/>
          <w:lang w:val="en-IE"/>
        </w:rPr>
        <w:t>Designated Persons</w:t>
      </w:r>
    </w:p>
    <w:p w14:paraId="2D488520" w14:textId="77777777" w:rsidR="00591A25" w:rsidRDefault="007E0CA0">
      <w:pPr>
        <w:spacing w:after="0" w:line="240" w:lineRule="auto"/>
        <w:jc w:val="both"/>
        <w:rPr>
          <w:rFonts w:ascii="Times New Roman" w:hAnsi="Times New Roman"/>
          <w:szCs w:val="20"/>
          <w:lang w:val="en-IE"/>
        </w:rPr>
      </w:pPr>
      <w:r>
        <w:rPr>
          <w:rFonts w:ascii="Times New Roman" w:hAnsi="Times New Roman"/>
          <w:szCs w:val="20"/>
          <w:lang w:val="en-IE"/>
        </w:rPr>
        <w:t>The Designated Persons of the ICAV do not receive any remuneration directly from the ICAV. Furthermore, KB Associates receives a fixed fee only for the provision of Designated Person services to the ICAV and does not receive performance-based remuneration.</w:t>
      </w:r>
    </w:p>
    <w:p w14:paraId="5227EE4C" w14:textId="77777777" w:rsidR="00591A25" w:rsidRDefault="0020032C">
      <w:pPr>
        <w:spacing w:after="0" w:line="240" w:lineRule="auto"/>
        <w:jc w:val="both"/>
        <w:rPr>
          <w:rFonts w:ascii="Times New Roman" w:hAnsi="Times New Roman"/>
          <w:szCs w:val="20"/>
          <w:lang w:val="en-IE"/>
        </w:rPr>
      </w:pPr>
    </w:p>
    <w:p w14:paraId="60EDB2FF" w14:textId="77777777" w:rsidR="00591A25" w:rsidRDefault="007E0CA0">
      <w:pPr>
        <w:spacing w:after="0" w:line="240" w:lineRule="auto"/>
        <w:jc w:val="both"/>
        <w:rPr>
          <w:rFonts w:ascii="Times New Roman" w:hAnsi="Times New Roman"/>
          <w:b/>
          <w:szCs w:val="20"/>
          <w:lang w:val="en-IE"/>
        </w:rPr>
      </w:pPr>
      <w:r>
        <w:rPr>
          <w:rFonts w:ascii="Times New Roman" w:hAnsi="Times New Roman"/>
          <w:b/>
          <w:szCs w:val="20"/>
          <w:lang w:val="en-IE"/>
        </w:rPr>
        <w:t>Proportionality Principle</w:t>
      </w:r>
    </w:p>
    <w:p w14:paraId="19F8D53A" w14:textId="77777777" w:rsidR="00591A25" w:rsidRDefault="007E0CA0">
      <w:pPr>
        <w:pStyle w:val="Default"/>
        <w:jc w:val="both"/>
        <w:rPr>
          <w:rFonts w:ascii="Times New Roman" w:hAnsi="Times New Roman" w:cs="Times New Roman"/>
          <w:sz w:val="22"/>
          <w:szCs w:val="20"/>
        </w:rPr>
      </w:pPr>
      <w:r>
        <w:rPr>
          <w:rFonts w:ascii="Times New Roman" w:hAnsi="Times New Roman" w:cs="Times New Roman"/>
          <w:sz w:val="22"/>
          <w:szCs w:val="20"/>
        </w:rPr>
        <w:t xml:space="preserve">As noted above, the ICAV must comply with the remuneration principles set down in the UCITS Regulations in a way and to the extent that is appropriate to its size, its internal organisation and the nature scope and complexity of its activities. Accordingly, some UCITS management companies can determine to meet the remuneration requirements through very sophisticated policies whereas others can do so in a simple and less burdensome way. </w:t>
      </w:r>
    </w:p>
    <w:p w14:paraId="7A18DDD2" w14:textId="77777777" w:rsidR="00591A25" w:rsidRDefault="0020032C">
      <w:pPr>
        <w:pStyle w:val="Default"/>
        <w:jc w:val="both"/>
        <w:rPr>
          <w:rFonts w:ascii="Times New Roman" w:hAnsi="Times New Roman" w:cs="Times New Roman"/>
          <w:sz w:val="20"/>
          <w:szCs w:val="20"/>
        </w:rPr>
      </w:pPr>
    </w:p>
    <w:p w14:paraId="2702B3A2" w14:textId="12FE3CFA" w:rsidR="00591A25" w:rsidRDefault="007E0CA0">
      <w:pPr>
        <w:spacing w:after="0" w:line="240" w:lineRule="auto"/>
        <w:jc w:val="both"/>
        <w:rPr>
          <w:rFonts w:ascii="Times New Roman" w:hAnsi="Times New Roman"/>
          <w:color w:val="000000"/>
          <w:szCs w:val="20"/>
          <w:lang w:val="en-IE"/>
        </w:rPr>
      </w:pPr>
      <w:r>
        <w:rPr>
          <w:rFonts w:ascii="Times New Roman" w:hAnsi="Times New Roman"/>
          <w:color w:val="000000"/>
          <w:szCs w:val="20"/>
          <w:lang w:val="en-IE"/>
        </w:rPr>
        <w:t xml:space="preserve">The ICAV does not pay any variable remuneration to any of its Identified Staff. Accordingly, the principles in respect of variable remuneration as outlined in the UCITS Regulations are not applicable. </w:t>
      </w:r>
    </w:p>
    <w:p w14:paraId="2DB20886" w14:textId="77777777" w:rsidR="00591A25" w:rsidRDefault="0020032C">
      <w:pPr>
        <w:spacing w:after="0" w:line="240" w:lineRule="auto"/>
        <w:jc w:val="both"/>
        <w:rPr>
          <w:rFonts w:ascii="Times New Roman" w:hAnsi="Times New Roman"/>
          <w:color w:val="000000"/>
          <w:szCs w:val="20"/>
          <w:lang w:val="en-IE"/>
        </w:rPr>
      </w:pPr>
    </w:p>
    <w:p w14:paraId="21FDB8C6" w14:textId="4F69724D" w:rsidR="00591A25" w:rsidRDefault="007E0CA0">
      <w:pPr>
        <w:spacing w:after="0" w:line="240" w:lineRule="auto"/>
        <w:jc w:val="both"/>
        <w:rPr>
          <w:rFonts w:ascii="Times New Roman" w:hAnsi="Times New Roman"/>
          <w:color w:val="000000"/>
          <w:szCs w:val="20"/>
          <w:lang w:val="en-IE"/>
        </w:rPr>
      </w:pPr>
      <w:r>
        <w:rPr>
          <w:rFonts w:ascii="Times New Roman" w:hAnsi="Times New Roman"/>
          <w:color w:val="000000"/>
          <w:szCs w:val="20"/>
          <w:lang w:val="en-IE"/>
        </w:rPr>
        <w:t xml:space="preserve">With respect to the remuneration committee, the Board has determined the remuneration committee requirement does not apply </w:t>
      </w:r>
      <w:proofErr w:type="gramStart"/>
      <w:r>
        <w:rPr>
          <w:rFonts w:ascii="Times New Roman" w:hAnsi="Times New Roman"/>
          <w:color w:val="000000"/>
          <w:szCs w:val="20"/>
          <w:lang w:val="en-IE"/>
        </w:rPr>
        <w:t>taking into account</w:t>
      </w:r>
      <w:proofErr w:type="gramEnd"/>
      <w:r>
        <w:rPr>
          <w:rFonts w:ascii="Times New Roman" w:hAnsi="Times New Roman"/>
          <w:color w:val="000000"/>
          <w:szCs w:val="20"/>
          <w:lang w:val="en-IE"/>
        </w:rPr>
        <w:t xml:space="preserve"> the below factors:</w:t>
      </w:r>
    </w:p>
    <w:p w14:paraId="1B52CC3E" w14:textId="527218F3" w:rsidR="00DB3EE2" w:rsidRDefault="00DB3EE2">
      <w:pPr>
        <w:spacing w:after="0" w:line="240" w:lineRule="auto"/>
        <w:jc w:val="both"/>
        <w:rPr>
          <w:rFonts w:ascii="Times New Roman" w:hAnsi="Times New Roman"/>
          <w:color w:val="000000"/>
          <w:szCs w:val="20"/>
          <w:lang w:val="en-IE"/>
        </w:rPr>
      </w:pPr>
    </w:p>
    <w:p w14:paraId="75747AAC" w14:textId="098061F8" w:rsidR="00DB3EE2" w:rsidRPr="00DB3EE2" w:rsidRDefault="00DB3EE2" w:rsidP="00DB3EE2">
      <w:pPr>
        <w:pStyle w:val="ListParagraph"/>
        <w:numPr>
          <w:ilvl w:val="0"/>
          <w:numId w:val="4"/>
        </w:numPr>
        <w:spacing w:after="0" w:line="240" w:lineRule="auto"/>
        <w:jc w:val="both"/>
        <w:rPr>
          <w:rFonts w:ascii="Times New Roman" w:hAnsi="Times New Roman"/>
        </w:rPr>
      </w:pPr>
      <w:r w:rsidRPr="00DB3EE2">
        <w:rPr>
          <w:rFonts w:ascii="Times New Roman" w:hAnsi="Times New Roman"/>
        </w:rPr>
        <w:t>all of the above proportionality criteria (</w:t>
      </w:r>
      <w:proofErr w:type="gramStart"/>
      <w:r w:rsidRPr="00DB3EE2">
        <w:rPr>
          <w:rFonts w:ascii="Times New Roman" w:hAnsi="Times New Roman"/>
        </w:rPr>
        <w:t>i.e.</w:t>
      </w:r>
      <w:proofErr w:type="gramEnd"/>
      <w:r w:rsidRPr="00DB3EE2">
        <w:rPr>
          <w:rFonts w:ascii="Times New Roman" w:hAnsi="Times New Roman"/>
        </w:rPr>
        <w:t xml:space="preserve"> the ICAV’s size, internal </w:t>
      </w:r>
      <w:proofErr w:type="spellStart"/>
      <w:r w:rsidRPr="00DB3EE2">
        <w:rPr>
          <w:rFonts w:ascii="Times New Roman" w:hAnsi="Times New Roman"/>
        </w:rPr>
        <w:t>organisation</w:t>
      </w:r>
      <w:proofErr w:type="spellEnd"/>
      <w:r w:rsidRPr="00DB3EE2">
        <w:rPr>
          <w:rFonts w:ascii="Times New Roman" w:hAnsi="Times New Roman"/>
        </w:rPr>
        <w:t xml:space="preserve"> nature, the scope and complexity of its activities); and </w:t>
      </w:r>
    </w:p>
    <w:p w14:paraId="7E34057B" w14:textId="2DA42981" w:rsidR="00DB3EE2" w:rsidRPr="00DB3EE2" w:rsidRDefault="00DB3EE2" w:rsidP="00DB3EE2">
      <w:pPr>
        <w:pStyle w:val="ListParagraph"/>
        <w:numPr>
          <w:ilvl w:val="0"/>
          <w:numId w:val="4"/>
        </w:numPr>
        <w:spacing w:after="0" w:line="240" w:lineRule="auto"/>
        <w:jc w:val="both"/>
        <w:rPr>
          <w:rFonts w:ascii="Times New Roman" w:hAnsi="Times New Roman"/>
          <w:color w:val="000000"/>
          <w:szCs w:val="20"/>
          <w:lang w:val="en-IE"/>
        </w:rPr>
      </w:pPr>
      <w:r w:rsidRPr="00DB3EE2">
        <w:rPr>
          <w:rFonts w:ascii="Times New Roman" w:hAnsi="Times New Roman"/>
        </w:rPr>
        <w:t>the UCITS Regulations outline a remuneration committee will be, where appropriate, set up in accordance with the ESMA Guidelines.</w:t>
      </w:r>
    </w:p>
    <w:p w14:paraId="4591F6CA" w14:textId="070EF869" w:rsidR="00591A25" w:rsidRDefault="0020032C">
      <w:pPr>
        <w:pStyle w:val="LONLegal1L5"/>
        <w:numPr>
          <w:ilvl w:val="0"/>
          <w:numId w:val="0"/>
        </w:numPr>
        <w:spacing w:after="0"/>
        <w:ind w:left="1134" w:hanging="993"/>
        <w:outlineLvl w:val="9"/>
        <w:rPr>
          <w:lang w:val="en-IE"/>
        </w:rPr>
      </w:pPr>
    </w:p>
    <w:p w14:paraId="645C9914" w14:textId="77777777" w:rsidR="00DB3EE2" w:rsidRDefault="00DB3EE2">
      <w:pPr>
        <w:pStyle w:val="LONLegal1L5"/>
        <w:numPr>
          <w:ilvl w:val="0"/>
          <w:numId w:val="0"/>
        </w:numPr>
        <w:spacing w:after="0"/>
        <w:ind w:left="1134" w:hanging="993"/>
        <w:outlineLvl w:val="9"/>
        <w:rPr>
          <w:lang w:val="en-IE"/>
        </w:rPr>
      </w:pPr>
    </w:p>
    <w:p w14:paraId="0BB57848" w14:textId="77777777" w:rsidR="00591A25" w:rsidRDefault="007E0CA0">
      <w:pPr>
        <w:spacing w:after="0" w:line="240" w:lineRule="auto"/>
        <w:jc w:val="both"/>
        <w:rPr>
          <w:rFonts w:ascii="Times New Roman" w:hAnsi="Times New Roman"/>
          <w:b/>
          <w:szCs w:val="20"/>
          <w:lang w:val="en-IE"/>
        </w:rPr>
      </w:pPr>
      <w:r>
        <w:rPr>
          <w:rFonts w:ascii="Times New Roman" w:hAnsi="Times New Roman"/>
          <w:b/>
          <w:szCs w:val="20"/>
          <w:lang w:val="en-IE"/>
        </w:rPr>
        <w:t>Review of the Policy</w:t>
      </w:r>
    </w:p>
    <w:p w14:paraId="4BD40DEA" w14:textId="77777777" w:rsidR="00591A25" w:rsidRDefault="007E0CA0">
      <w:pPr>
        <w:spacing w:after="0" w:line="240" w:lineRule="auto"/>
        <w:jc w:val="both"/>
        <w:rPr>
          <w:rFonts w:ascii="Times New Roman" w:hAnsi="Times New Roman"/>
          <w:szCs w:val="20"/>
          <w:lang w:val="en-IE"/>
        </w:rPr>
      </w:pPr>
      <w:r>
        <w:rPr>
          <w:rFonts w:ascii="Times New Roman" w:hAnsi="Times New Roman"/>
          <w:szCs w:val="20"/>
          <w:lang w:val="en-IE"/>
        </w:rPr>
        <w:t>The general principles of this remuneration policy shall be reviewed at least annually by the Board of the ICAV.</w:t>
      </w:r>
    </w:p>
    <w:p w14:paraId="2126A6D9" w14:textId="77777777" w:rsidR="00591A25" w:rsidRDefault="0020032C">
      <w:pPr>
        <w:spacing w:after="0" w:line="240" w:lineRule="auto"/>
        <w:jc w:val="both"/>
        <w:rPr>
          <w:rFonts w:ascii="Times New Roman" w:hAnsi="Times New Roman"/>
          <w:szCs w:val="20"/>
          <w:lang w:val="en-IE"/>
        </w:rPr>
      </w:pPr>
    </w:p>
    <w:p w14:paraId="62DB8854" w14:textId="77777777" w:rsidR="00591A25" w:rsidRDefault="007E0CA0">
      <w:pPr>
        <w:spacing w:after="0" w:line="240" w:lineRule="auto"/>
        <w:jc w:val="both"/>
        <w:rPr>
          <w:rFonts w:ascii="Times New Roman" w:hAnsi="Times New Roman"/>
          <w:szCs w:val="20"/>
          <w:lang w:val="en-IE"/>
        </w:rPr>
      </w:pPr>
      <w:r>
        <w:rPr>
          <w:rFonts w:ascii="Times New Roman" w:hAnsi="Times New Roman"/>
          <w:position w:val="9"/>
          <w:szCs w:val="20"/>
          <w:lang w:val="en-IE"/>
        </w:rPr>
        <w:t xml:space="preserve">The implementation of this remuneration policy will be subject to review at least annually to ensure compliance with and adherence to the policy. </w:t>
      </w:r>
    </w:p>
    <w:p w14:paraId="1B09F2E2" w14:textId="77777777" w:rsidR="00591A25" w:rsidRDefault="0020032C">
      <w:pPr>
        <w:spacing w:after="0" w:line="240" w:lineRule="auto"/>
        <w:jc w:val="both"/>
        <w:rPr>
          <w:rFonts w:ascii="Times New Roman" w:hAnsi="Times New Roman"/>
          <w:szCs w:val="20"/>
          <w:lang w:val="en-IE"/>
        </w:rPr>
      </w:pPr>
    </w:p>
    <w:p w14:paraId="67B77EF2" w14:textId="77777777" w:rsidR="00591A25" w:rsidRDefault="007E0CA0">
      <w:pPr>
        <w:spacing w:after="0" w:line="240" w:lineRule="auto"/>
        <w:jc w:val="both"/>
        <w:rPr>
          <w:rFonts w:ascii="Times New Roman" w:hAnsi="Times New Roman"/>
          <w:szCs w:val="20"/>
          <w:lang w:val="en-IE"/>
        </w:rPr>
      </w:pPr>
      <w:r>
        <w:rPr>
          <w:rFonts w:ascii="Times New Roman" w:hAnsi="Times New Roman"/>
          <w:position w:val="9"/>
          <w:szCs w:val="20"/>
          <w:lang w:val="en-IE"/>
        </w:rPr>
        <w:t>These reviews will ensure that:</w:t>
      </w:r>
    </w:p>
    <w:p w14:paraId="058E089F" w14:textId="77777777" w:rsidR="00591A25" w:rsidRDefault="0020032C">
      <w:pPr>
        <w:tabs>
          <w:tab w:val="left" w:pos="1055"/>
        </w:tabs>
        <w:spacing w:after="0" w:line="240" w:lineRule="auto"/>
        <w:jc w:val="both"/>
        <w:rPr>
          <w:rFonts w:ascii="Times New Roman" w:hAnsi="Times New Roman"/>
          <w:szCs w:val="20"/>
          <w:lang w:val="en-IE"/>
        </w:rPr>
      </w:pPr>
    </w:p>
    <w:p w14:paraId="34ED7528" w14:textId="77777777" w:rsidR="00591A25" w:rsidRDefault="007E0CA0">
      <w:pPr>
        <w:numPr>
          <w:ilvl w:val="1"/>
          <w:numId w:val="3"/>
        </w:numPr>
        <w:spacing w:after="0" w:line="240" w:lineRule="auto"/>
        <w:ind w:left="851" w:hanging="425"/>
        <w:jc w:val="both"/>
        <w:rPr>
          <w:rFonts w:ascii="Times New Roman" w:hAnsi="Times New Roman"/>
          <w:szCs w:val="20"/>
          <w:lang w:val="en-IE"/>
        </w:rPr>
      </w:pPr>
      <w:r>
        <w:rPr>
          <w:rFonts w:ascii="Times New Roman" w:hAnsi="Times New Roman"/>
          <w:szCs w:val="20"/>
          <w:lang w:val="en-IE"/>
        </w:rPr>
        <w:t xml:space="preserve">the overall remuneration system operates as </w:t>
      </w:r>
      <w:proofErr w:type="gramStart"/>
      <w:r>
        <w:rPr>
          <w:rFonts w:ascii="Times New Roman" w:hAnsi="Times New Roman"/>
          <w:szCs w:val="20"/>
          <w:lang w:val="en-IE"/>
        </w:rPr>
        <w:t>intended;</w:t>
      </w:r>
      <w:proofErr w:type="gramEnd"/>
    </w:p>
    <w:p w14:paraId="14B45E9E" w14:textId="77777777" w:rsidR="00591A25" w:rsidRDefault="007E0CA0">
      <w:pPr>
        <w:numPr>
          <w:ilvl w:val="1"/>
          <w:numId w:val="3"/>
        </w:numPr>
        <w:spacing w:after="0" w:line="240" w:lineRule="auto"/>
        <w:ind w:left="851" w:hanging="425"/>
        <w:jc w:val="both"/>
        <w:rPr>
          <w:rFonts w:ascii="Times New Roman" w:hAnsi="Times New Roman"/>
          <w:szCs w:val="20"/>
          <w:lang w:val="en-IE"/>
        </w:rPr>
      </w:pPr>
      <w:r>
        <w:rPr>
          <w:rFonts w:ascii="Times New Roman" w:hAnsi="Times New Roman"/>
          <w:szCs w:val="20"/>
          <w:lang w:val="en-IE"/>
        </w:rPr>
        <w:t xml:space="preserve">the remuneration pay-outs are </w:t>
      </w:r>
      <w:proofErr w:type="gramStart"/>
      <w:r>
        <w:rPr>
          <w:rFonts w:ascii="Times New Roman" w:hAnsi="Times New Roman"/>
          <w:szCs w:val="20"/>
          <w:lang w:val="en-IE"/>
        </w:rPr>
        <w:t>appropriate;</w:t>
      </w:r>
      <w:proofErr w:type="gramEnd"/>
    </w:p>
    <w:p w14:paraId="669E9A21" w14:textId="77777777" w:rsidR="00591A25" w:rsidRDefault="007E0CA0">
      <w:pPr>
        <w:numPr>
          <w:ilvl w:val="1"/>
          <w:numId w:val="3"/>
        </w:numPr>
        <w:spacing w:after="0" w:line="240" w:lineRule="auto"/>
        <w:ind w:left="851" w:hanging="425"/>
        <w:jc w:val="both"/>
        <w:rPr>
          <w:rFonts w:ascii="Times New Roman" w:hAnsi="Times New Roman"/>
          <w:szCs w:val="20"/>
          <w:lang w:val="en-IE"/>
        </w:rPr>
      </w:pPr>
      <w:r>
        <w:rPr>
          <w:rFonts w:ascii="Times New Roman" w:hAnsi="Times New Roman"/>
          <w:szCs w:val="20"/>
          <w:lang w:val="en-IE"/>
        </w:rPr>
        <w:t>the risk profile, objectives, including sustainability objectives and goals of the ICAV are adequately reflected; and</w:t>
      </w:r>
    </w:p>
    <w:p w14:paraId="6D8BCFCF" w14:textId="77777777" w:rsidR="00591A25" w:rsidRDefault="007E0CA0">
      <w:pPr>
        <w:numPr>
          <w:ilvl w:val="1"/>
          <w:numId w:val="3"/>
        </w:numPr>
        <w:spacing w:after="0" w:line="240" w:lineRule="auto"/>
        <w:ind w:left="851" w:hanging="425"/>
        <w:jc w:val="both"/>
      </w:pPr>
      <w:r>
        <w:rPr>
          <w:rFonts w:ascii="Times New Roman" w:hAnsi="Times New Roman"/>
          <w:szCs w:val="20"/>
          <w:lang w:val="en-IE"/>
        </w:rPr>
        <w:t>the policy, including the sustainability policy, reflects available guidelines and regulatory requirements.</w:t>
      </w:r>
    </w:p>
    <w:p w14:paraId="27B020A7" w14:textId="77777777" w:rsidR="00591A25" w:rsidRDefault="0020032C">
      <w:pPr>
        <w:spacing w:after="0" w:line="240" w:lineRule="auto"/>
        <w:jc w:val="both"/>
        <w:rPr>
          <w:rFonts w:ascii="Times New Roman" w:hAnsi="Times New Roman"/>
          <w:szCs w:val="20"/>
          <w:lang w:val="en-IE"/>
        </w:rPr>
      </w:pPr>
    </w:p>
    <w:p w14:paraId="2AE1623D" w14:textId="77777777" w:rsidR="00591A25" w:rsidRDefault="007E0CA0">
      <w:pPr>
        <w:spacing w:after="0" w:line="240" w:lineRule="auto"/>
        <w:jc w:val="both"/>
        <w:rPr>
          <w:rFonts w:ascii="Times New Roman" w:hAnsi="Times New Roman"/>
          <w:szCs w:val="20"/>
          <w:lang w:val="en-IE"/>
        </w:rPr>
      </w:pPr>
      <w:r>
        <w:rPr>
          <w:rFonts w:ascii="Times New Roman" w:hAnsi="Times New Roman"/>
          <w:position w:val="9"/>
          <w:szCs w:val="20"/>
          <w:lang w:val="en-IE"/>
        </w:rPr>
        <w:t>The Board will take appropriate measures to address any deficiencies.</w:t>
      </w:r>
    </w:p>
    <w:p w14:paraId="23828126" w14:textId="77777777" w:rsidR="00591A25" w:rsidRDefault="0020032C">
      <w:pPr>
        <w:spacing w:after="0" w:line="240" w:lineRule="auto"/>
        <w:jc w:val="both"/>
        <w:rPr>
          <w:rFonts w:ascii="Times New Roman" w:hAnsi="Times New Roman"/>
          <w:szCs w:val="20"/>
          <w:lang w:val="en-IE"/>
        </w:rPr>
      </w:pPr>
    </w:p>
    <w:p w14:paraId="60A1511D" w14:textId="77777777" w:rsidR="00591A25" w:rsidRDefault="007E0CA0">
      <w:pPr>
        <w:tabs>
          <w:tab w:val="left" w:pos="360"/>
          <w:tab w:val="left" w:pos="720"/>
        </w:tabs>
        <w:spacing w:after="0" w:line="240" w:lineRule="auto"/>
        <w:jc w:val="both"/>
        <w:rPr>
          <w:rFonts w:ascii="Times New Roman" w:hAnsi="Times New Roman"/>
          <w:b/>
          <w:szCs w:val="20"/>
          <w:lang w:val="en-IE"/>
        </w:rPr>
      </w:pPr>
      <w:r>
        <w:rPr>
          <w:rFonts w:ascii="Times New Roman" w:hAnsi="Times New Roman"/>
          <w:b/>
          <w:szCs w:val="20"/>
          <w:lang w:val="en-IE"/>
        </w:rPr>
        <w:t xml:space="preserve">Circumstances where action is </w:t>
      </w:r>
      <w:proofErr w:type="gramStart"/>
      <w:r>
        <w:rPr>
          <w:rFonts w:ascii="Times New Roman" w:hAnsi="Times New Roman"/>
          <w:b/>
          <w:szCs w:val="20"/>
          <w:lang w:val="en-IE"/>
        </w:rPr>
        <w:t>required</w:t>
      </w:r>
      <w:proofErr w:type="gramEnd"/>
    </w:p>
    <w:p w14:paraId="27B1BC39" w14:textId="77777777" w:rsidR="00591A25" w:rsidRDefault="007E0CA0">
      <w:pPr>
        <w:pStyle w:val="BodyText2"/>
        <w:spacing w:after="0" w:line="240" w:lineRule="auto"/>
        <w:jc w:val="both"/>
        <w:rPr>
          <w:rFonts w:ascii="Times New Roman" w:hAnsi="Times New Roman"/>
          <w:lang w:val="en-IE"/>
        </w:rPr>
      </w:pPr>
      <w:r>
        <w:rPr>
          <w:rFonts w:ascii="Times New Roman" w:hAnsi="Times New Roman"/>
          <w:lang w:val="en-IE"/>
        </w:rPr>
        <w:t>Following a review of adherence to the ICAV’s remuneration policies and procedures, action may be required if remuneration levels do not adhere to the principles set out therein or is at a level which is unacceptable or gives rise to conflicts of interest. The action to be taken may include possible revision of the level of remuneration payable to the individual(s) concerned.</w:t>
      </w:r>
    </w:p>
    <w:p w14:paraId="688EA5C1" w14:textId="77777777" w:rsidR="00591A25" w:rsidRDefault="0020032C">
      <w:pPr>
        <w:tabs>
          <w:tab w:val="left" w:pos="360"/>
          <w:tab w:val="left" w:pos="720"/>
        </w:tabs>
        <w:spacing w:after="0" w:line="240" w:lineRule="auto"/>
        <w:jc w:val="both"/>
        <w:rPr>
          <w:rFonts w:ascii="Times New Roman" w:hAnsi="Times New Roman"/>
          <w:szCs w:val="20"/>
          <w:lang w:val="en-IE"/>
        </w:rPr>
      </w:pPr>
    </w:p>
    <w:p w14:paraId="4379CF27" w14:textId="77777777" w:rsidR="00591A25" w:rsidRDefault="007E0CA0">
      <w:pPr>
        <w:tabs>
          <w:tab w:val="left" w:pos="360"/>
          <w:tab w:val="left" w:pos="720"/>
        </w:tabs>
        <w:spacing w:after="0" w:line="240" w:lineRule="auto"/>
        <w:jc w:val="both"/>
        <w:rPr>
          <w:rFonts w:ascii="Times New Roman" w:hAnsi="Times New Roman"/>
          <w:szCs w:val="20"/>
          <w:lang w:val="en-IE"/>
        </w:rPr>
      </w:pPr>
      <w:r>
        <w:rPr>
          <w:rFonts w:ascii="Times New Roman" w:hAnsi="Times New Roman"/>
          <w:szCs w:val="20"/>
          <w:lang w:val="en-IE"/>
        </w:rPr>
        <w:lastRenderedPageBreak/>
        <w:t xml:space="preserve">The responsibility for determining action to be taken and for </w:t>
      </w:r>
      <w:proofErr w:type="gramStart"/>
      <w:r>
        <w:rPr>
          <w:rFonts w:ascii="Times New Roman" w:hAnsi="Times New Roman"/>
          <w:szCs w:val="20"/>
          <w:lang w:val="en-IE"/>
        </w:rPr>
        <w:t>taking action</w:t>
      </w:r>
      <w:proofErr w:type="gramEnd"/>
      <w:r>
        <w:rPr>
          <w:rFonts w:ascii="Times New Roman" w:hAnsi="Times New Roman"/>
          <w:szCs w:val="20"/>
          <w:lang w:val="en-IE"/>
        </w:rPr>
        <w:t xml:space="preserve"> on behalf of the ICAV lies with the Board.</w:t>
      </w:r>
    </w:p>
    <w:p w14:paraId="330CF68B" w14:textId="77777777" w:rsidR="00591A25" w:rsidRDefault="0020032C">
      <w:pPr>
        <w:tabs>
          <w:tab w:val="left" w:pos="360"/>
          <w:tab w:val="left" w:pos="720"/>
        </w:tabs>
        <w:spacing w:after="0" w:line="240" w:lineRule="auto"/>
        <w:jc w:val="both"/>
        <w:rPr>
          <w:rFonts w:ascii="Times New Roman" w:hAnsi="Times New Roman"/>
          <w:lang w:val="en-IE"/>
        </w:rPr>
      </w:pPr>
    </w:p>
    <w:p w14:paraId="135AF124" w14:textId="77777777" w:rsidR="00591A25" w:rsidRDefault="007E0CA0">
      <w:pPr>
        <w:tabs>
          <w:tab w:val="left" w:pos="360"/>
          <w:tab w:val="left" w:pos="720"/>
        </w:tabs>
        <w:spacing w:after="0" w:line="240" w:lineRule="auto"/>
        <w:jc w:val="both"/>
        <w:rPr>
          <w:rFonts w:ascii="Times New Roman" w:hAnsi="Times New Roman"/>
          <w:b/>
          <w:szCs w:val="20"/>
          <w:lang w:val="en-IE"/>
        </w:rPr>
      </w:pPr>
      <w:r>
        <w:rPr>
          <w:rFonts w:ascii="Times New Roman" w:hAnsi="Times New Roman"/>
          <w:b/>
          <w:szCs w:val="20"/>
          <w:lang w:val="en-IE"/>
        </w:rPr>
        <w:t>Disclosure</w:t>
      </w:r>
    </w:p>
    <w:p w14:paraId="22E19FDD" w14:textId="77777777" w:rsidR="00591A25" w:rsidRDefault="007E0CA0">
      <w:pPr>
        <w:tabs>
          <w:tab w:val="left" w:pos="-144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
        <w:rPr>
          <w:rFonts w:ascii="Times New Roman" w:hAnsi="Times New Roman"/>
          <w:iCs/>
          <w:szCs w:val="20"/>
          <w:lang w:val="en-IE"/>
        </w:rPr>
        <w:t>Details of this remuneration policy are available on a website (</w:t>
      </w:r>
      <w:hyperlink r:id="rId5" w:history="1">
        <w:r>
          <w:rPr>
            <w:rStyle w:val="Hyperlink"/>
            <w:rFonts w:ascii="Times New Roman" w:hAnsi="Times New Roman"/>
            <w:iCs/>
            <w:szCs w:val="20"/>
            <w:lang w:val="en-IE"/>
          </w:rPr>
          <w:t>www.cascap.co</w:t>
        </w:r>
      </w:hyperlink>
      <w:r>
        <w:rPr>
          <w:rStyle w:val="Hyperlink"/>
          <w:rFonts w:ascii="Times New Roman" w:hAnsi="Times New Roman"/>
          <w:iCs/>
          <w:szCs w:val="20"/>
          <w:lang w:val="en-IE"/>
        </w:rPr>
        <w:t>.uk</w:t>
      </w:r>
      <w:r>
        <w:rPr>
          <w:rFonts w:ascii="Times New Roman" w:hAnsi="Times New Roman"/>
          <w:iCs/>
          <w:szCs w:val="20"/>
          <w:lang w:val="en-IE"/>
        </w:rPr>
        <w:t xml:space="preserve">) and a paper copy will be made available free of charge upon request. </w:t>
      </w:r>
    </w:p>
    <w:p w14:paraId="44BE9416" w14:textId="77777777" w:rsidR="00591A25" w:rsidRDefault="0020032C">
      <w:pPr>
        <w:spacing w:after="0" w:line="240" w:lineRule="auto"/>
        <w:rPr>
          <w:rFonts w:ascii="Times New Roman" w:eastAsia="Times New Roman" w:hAnsi="Times New Roman"/>
          <w:b/>
          <w:bCs/>
          <w:sz w:val="26"/>
          <w:szCs w:val="26"/>
          <w:lang w:val="en-IE"/>
        </w:rPr>
      </w:pPr>
      <w:bookmarkStart w:id="0" w:name="_Toc460923148"/>
      <w:bookmarkStart w:id="1" w:name="_Toc460939151"/>
      <w:bookmarkEnd w:id="0"/>
      <w:bookmarkEnd w:id="1"/>
    </w:p>
    <w:sectPr w:rsidR="00591A25">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0731B8"/>
    <w:multiLevelType w:val="multilevel"/>
    <w:tmpl w:val="5BD2E3A0"/>
    <w:lvl w:ilvl="0">
      <w:start w:val="1"/>
      <w:numFmt w:val="decimal"/>
      <w:lvlText w:val="%1."/>
      <w:lvlJc w:val="left"/>
      <w:pPr>
        <w:ind w:left="3544" w:hanging="992"/>
      </w:pPr>
      <w:rPr>
        <w:rFonts w:ascii="Times New Roman" w:hAnsi="Times New Roman" w:cs="Times New Roman"/>
        <w:b/>
        <w:i w:val="0"/>
        <w:sz w:val="20"/>
        <w:szCs w:val="20"/>
        <w:u w:val="none"/>
      </w:rPr>
    </w:lvl>
    <w:lvl w:ilvl="1">
      <w:start w:val="1"/>
      <w:numFmt w:val="decimal"/>
      <w:lvlText w:val="%1.%2"/>
      <w:lvlJc w:val="left"/>
      <w:pPr>
        <w:ind w:left="1988" w:hanging="994"/>
      </w:pPr>
      <w:rPr>
        <w:rFonts w:ascii="Times New Roman" w:hAnsi="Times New Roman" w:cs="Times New Roman"/>
        <w:b/>
        <w:sz w:val="22"/>
        <w:u w:val="none"/>
      </w:rPr>
    </w:lvl>
    <w:lvl w:ilvl="2">
      <w:start w:val="1"/>
      <w:numFmt w:val="decimal"/>
      <w:lvlText w:val="%1.%2.%3"/>
      <w:lvlJc w:val="left"/>
      <w:pPr>
        <w:ind w:left="2981" w:hanging="994"/>
      </w:pPr>
      <w:rPr>
        <w:rFonts w:ascii="Times New Roman" w:hAnsi="Times New Roman" w:cs="Times New Roman"/>
        <w:b/>
        <w:sz w:val="22"/>
        <w:u w:val="none"/>
      </w:rPr>
    </w:lvl>
    <w:lvl w:ilvl="3">
      <w:start w:val="1"/>
      <w:numFmt w:val="lowerLetter"/>
      <w:lvlText w:val="(%4)"/>
      <w:lvlJc w:val="left"/>
      <w:pPr>
        <w:ind w:left="2412" w:hanging="993"/>
      </w:pPr>
      <w:rPr>
        <w:rFonts w:ascii="Times New Roman" w:hAnsi="Times New Roman" w:cs="Times New Roman"/>
        <w:sz w:val="22"/>
        <w:szCs w:val="20"/>
        <w:u w:val="none"/>
      </w:rPr>
    </w:lvl>
    <w:lvl w:ilvl="4">
      <w:start w:val="1"/>
      <w:numFmt w:val="lowerRoman"/>
      <w:lvlText w:val="(%5)"/>
      <w:lvlJc w:val="left"/>
      <w:pPr>
        <w:ind w:left="1987" w:hanging="993"/>
      </w:pPr>
      <w:rPr>
        <w:rFonts w:ascii="Times New Roman" w:hAnsi="Times New Roman" w:cs="Times New Roman"/>
        <w:sz w:val="22"/>
        <w:u w:val="none"/>
      </w:rPr>
    </w:lvl>
    <w:lvl w:ilvl="5">
      <w:start w:val="1"/>
      <w:numFmt w:val="decimal"/>
      <w:lvlText w:val="%6."/>
      <w:lvlJc w:val="left"/>
      <w:pPr>
        <w:ind w:left="3974" w:hanging="993"/>
      </w:pPr>
      <w:rPr>
        <w:rFonts w:ascii="Times New Roman" w:hAnsi="Times New Roman" w:cs="Times New Roman"/>
        <w:b/>
        <w:sz w:val="22"/>
        <w:u w:val="none"/>
      </w:rPr>
    </w:lvl>
    <w:lvl w:ilvl="6">
      <w:numFmt w:val="bullet"/>
      <w:lvlText w:val="·"/>
      <w:lvlJc w:val="left"/>
      <w:pPr>
        <w:ind w:left="4968" w:hanging="994"/>
      </w:pPr>
      <w:rPr>
        <w:rFonts w:ascii="Symbol" w:hAnsi="Symbol"/>
        <w:b w:val="0"/>
        <w:i w:val="0"/>
        <w:color w:val="auto"/>
        <w:sz w:val="22"/>
        <w:u w:val="none"/>
      </w:rPr>
    </w:lvl>
    <w:lvl w:ilvl="7">
      <w:numFmt w:val="bullet"/>
      <w:lvlText w:val="·"/>
      <w:lvlJc w:val="left"/>
      <w:pPr>
        <w:ind w:left="2981" w:hanging="994"/>
      </w:pPr>
      <w:rPr>
        <w:rFonts w:ascii="Symbol" w:hAnsi="Symbol"/>
        <w:b w:val="0"/>
        <w:i w:val="0"/>
        <w:color w:val="auto"/>
        <w:sz w:val="22"/>
        <w:u w:val="none"/>
      </w:rPr>
    </w:lvl>
    <w:lvl w:ilvl="8">
      <w:numFmt w:val="bullet"/>
      <w:lvlText w:val="·"/>
      <w:lvlJc w:val="left"/>
      <w:pPr>
        <w:ind w:left="3975" w:hanging="994"/>
      </w:pPr>
      <w:rPr>
        <w:rFonts w:ascii="Symbol" w:hAnsi="Symbol"/>
        <w:b w:val="0"/>
        <w:i w:val="0"/>
        <w:color w:val="auto"/>
        <w:sz w:val="22"/>
        <w:u w:val="none"/>
      </w:rPr>
    </w:lvl>
  </w:abstractNum>
  <w:abstractNum w:abstractNumId="1" w15:restartNumberingAfterBreak="0">
    <w:nsid w:val="700836A6"/>
    <w:multiLevelType w:val="multilevel"/>
    <w:tmpl w:val="5B86BF6C"/>
    <w:lvl w:ilvl="0">
      <w:numFmt w:val="bullet"/>
      <w:lvlText w:val=""/>
      <w:lvlJc w:val="left"/>
      <w:pPr>
        <w:ind w:left="720" w:hanging="360"/>
      </w:pPr>
      <w:rPr>
        <w:rFonts w:ascii="Symbol" w:hAnsi="Symbol"/>
      </w:rPr>
    </w:lvl>
    <w:lvl w:ilvl="1">
      <w:numFmt w:val="bullet"/>
      <w:lvlText w:val=""/>
      <w:lvlJc w:val="left"/>
      <w:pPr>
        <w:ind w:left="1440" w:hanging="360"/>
      </w:pPr>
      <w:rPr>
        <w:rFonts w:ascii="Wingdings" w:hAnsi="Wingdings"/>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5EF1EA2"/>
    <w:multiLevelType w:val="hybridMultilevel"/>
    <w:tmpl w:val="F4864A22"/>
    <w:lvl w:ilvl="0" w:tplc="60808B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C9792A"/>
    <w:multiLevelType w:val="multilevel"/>
    <w:tmpl w:val="4AC4CF1C"/>
    <w:styleLink w:val="WWOutlineListStyle"/>
    <w:lvl w:ilvl="0">
      <w:start w:val="1"/>
      <w:numFmt w:val="decimal"/>
      <w:pStyle w:val="LONLegal1L1"/>
      <w:lvlText w:val="%1."/>
      <w:lvlJc w:val="left"/>
      <w:pPr>
        <w:ind w:left="3544" w:hanging="992"/>
      </w:pPr>
      <w:rPr>
        <w:rFonts w:ascii="Times New Roman" w:hAnsi="Times New Roman" w:cs="Times New Roman"/>
        <w:b/>
        <w:i w:val="0"/>
        <w:sz w:val="20"/>
        <w:szCs w:val="20"/>
        <w:u w:val="none"/>
      </w:rPr>
    </w:lvl>
    <w:lvl w:ilvl="1">
      <w:start w:val="1"/>
      <w:numFmt w:val="decimal"/>
      <w:pStyle w:val="LONLegal1L2"/>
      <w:lvlText w:val="%1.%2"/>
      <w:lvlJc w:val="left"/>
      <w:pPr>
        <w:ind w:left="1988" w:hanging="994"/>
      </w:pPr>
      <w:rPr>
        <w:rFonts w:ascii="Times New Roman" w:hAnsi="Times New Roman" w:cs="Times New Roman"/>
        <w:b/>
        <w:sz w:val="22"/>
        <w:u w:val="none"/>
      </w:rPr>
    </w:lvl>
    <w:lvl w:ilvl="2">
      <w:start w:val="1"/>
      <w:numFmt w:val="decimal"/>
      <w:pStyle w:val="LONLegal1L3"/>
      <w:lvlText w:val="%1.%2.%3"/>
      <w:lvlJc w:val="left"/>
      <w:pPr>
        <w:ind w:left="2981" w:hanging="994"/>
      </w:pPr>
      <w:rPr>
        <w:rFonts w:ascii="Times New Roman" w:hAnsi="Times New Roman" w:cs="Times New Roman"/>
        <w:b/>
        <w:sz w:val="22"/>
        <w:u w:val="none"/>
      </w:rPr>
    </w:lvl>
    <w:lvl w:ilvl="3">
      <w:start w:val="1"/>
      <w:numFmt w:val="lowerLetter"/>
      <w:pStyle w:val="LONLegal1L4"/>
      <w:lvlText w:val="(%4)"/>
      <w:lvlJc w:val="left"/>
      <w:pPr>
        <w:ind w:left="2412" w:hanging="993"/>
      </w:pPr>
      <w:rPr>
        <w:rFonts w:ascii="Times New Roman" w:hAnsi="Times New Roman" w:cs="Times New Roman"/>
        <w:sz w:val="22"/>
        <w:szCs w:val="20"/>
        <w:u w:val="none"/>
      </w:rPr>
    </w:lvl>
    <w:lvl w:ilvl="4">
      <w:start w:val="1"/>
      <w:numFmt w:val="lowerRoman"/>
      <w:pStyle w:val="LONLegal1L5"/>
      <w:lvlText w:val="(%5)"/>
      <w:lvlJc w:val="left"/>
      <w:pPr>
        <w:ind w:left="1987" w:hanging="993"/>
      </w:pPr>
      <w:rPr>
        <w:rFonts w:ascii="Times New Roman" w:hAnsi="Times New Roman" w:cs="Times New Roman"/>
        <w:sz w:val="22"/>
        <w:u w:val="none"/>
      </w:rPr>
    </w:lvl>
    <w:lvl w:ilvl="5">
      <w:start w:val="1"/>
      <w:numFmt w:val="decimal"/>
      <w:pStyle w:val="LONLegal1L6"/>
      <w:lvlText w:val="%6."/>
      <w:lvlJc w:val="left"/>
      <w:pPr>
        <w:ind w:left="3974" w:hanging="993"/>
      </w:pPr>
      <w:rPr>
        <w:rFonts w:ascii="Times New Roman" w:hAnsi="Times New Roman" w:cs="Times New Roman"/>
        <w:b/>
        <w:sz w:val="22"/>
        <w:u w:val="none"/>
      </w:rPr>
    </w:lvl>
    <w:lvl w:ilvl="6">
      <w:start w:val="1"/>
      <w:numFmt w:val="decimal"/>
      <w:pStyle w:val="LONLegal1L7"/>
      <w:lvlText w:val="%7."/>
      <w:lvlJc w:val="left"/>
      <w:pPr>
        <w:ind w:left="4968" w:hanging="994"/>
      </w:pPr>
      <w:rPr>
        <w:b w:val="0"/>
        <w:i w:val="0"/>
        <w:color w:val="auto"/>
        <w:sz w:val="22"/>
        <w:u w:val="none"/>
      </w:rPr>
    </w:lvl>
    <w:lvl w:ilvl="7">
      <w:start w:val="1"/>
      <w:numFmt w:val="decimal"/>
      <w:pStyle w:val="LONLegal1L8"/>
      <w:lvlText w:val="%8."/>
      <w:lvlJc w:val="left"/>
      <w:pPr>
        <w:ind w:left="2981" w:hanging="994"/>
      </w:pPr>
      <w:rPr>
        <w:b w:val="0"/>
        <w:i w:val="0"/>
        <w:color w:val="auto"/>
        <w:sz w:val="22"/>
        <w:u w:val="none"/>
      </w:rPr>
    </w:lvl>
    <w:lvl w:ilvl="8">
      <w:start w:val="1"/>
      <w:numFmt w:val="decimal"/>
      <w:pStyle w:val="LONLegal1L9"/>
      <w:lvlText w:val="%9."/>
      <w:lvlJc w:val="left"/>
      <w:pPr>
        <w:ind w:left="3975" w:hanging="994"/>
      </w:pPr>
      <w:rPr>
        <w:b w:val="0"/>
        <w:i w:val="0"/>
        <w:color w:val="auto"/>
        <w:sz w:val="22"/>
        <w:u w:val="none"/>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CA0"/>
    <w:rsid w:val="001B7DD0"/>
    <w:rsid w:val="007E0CA0"/>
    <w:rsid w:val="00946E27"/>
    <w:rsid w:val="00DB3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E97F6"/>
  <w15:docId w15:val="{021D781D-0DE4-4584-8052-72B8F62B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I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paragraph" w:customStyle="1" w:styleId="LONLegal1L1">
    <w:name w:val="LONLegal1_L1"/>
    <w:basedOn w:val="Normal"/>
    <w:next w:val="LONLegal1L2"/>
    <w:pPr>
      <w:keepNext/>
      <w:numPr>
        <w:numId w:val="1"/>
      </w:numPr>
      <w:autoSpaceDE w:val="0"/>
      <w:spacing w:after="220" w:line="240" w:lineRule="auto"/>
      <w:jc w:val="both"/>
      <w:outlineLvl w:val="0"/>
    </w:pPr>
    <w:rPr>
      <w:rFonts w:ascii="Times New Roman" w:eastAsia="Times New Roman" w:hAnsi="Times New Roman"/>
      <w:b/>
      <w:caps/>
      <w:szCs w:val="20"/>
    </w:rPr>
  </w:style>
  <w:style w:type="paragraph" w:customStyle="1" w:styleId="LONLegal1L2">
    <w:name w:val="LONLegal1_L2"/>
    <w:basedOn w:val="Normal"/>
    <w:pPr>
      <w:keepNext/>
      <w:numPr>
        <w:ilvl w:val="1"/>
        <w:numId w:val="1"/>
      </w:numPr>
      <w:autoSpaceDE w:val="0"/>
      <w:spacing w:after="220" w:line="240" w:lineRule="auto"/>
      <w:jc w:val="both"/>
      <w:outlineLvl w:val="1"/>
    </w:pPr>
    <w:rPr>
      <w:rFonts w:ascii="Times New Roman" w:eastAsia="Times New Roman" w:hAnsi="Times New Roman"/>
      <w:b/>
      <w:szCs w:val="20"/>
    </w:rPr>
  </w:style>
  <w:style w:type="paragraph" w:customStyle="1" w:styleId="LONLegal1L3">
    <w:name w:val="LONLegal1_L3"/>
    <w:basedOn w:val="Normal"/>
    <w:pPr>
      <w:keepNext/>
      <w:numPr>
        <w:ilvl w:val="2"/>
        <w:numId w:val="1"/>
      </w:numPr>
      <w:autoSpaceDE w:val="0"/>
      <w:spacing w:after="220" w:line="240" w:lineRule="auto"/>
      <w:jc w:val="both"/>
      <w:outlineLvl w:val="2"/>
    </w:pPr>
    <w:rPr>
      <w:rFonts w:ascii="Times New Roman" w:eastAsia="Times New Roman" w:hAnsi="Times New Roman"/>
      <w:szCs w:val="20"/>
    </w:rPr>
  </w:style>
  <w:style w:type="paragraph" w:customStyle="1" w:styleId="LONLegal1L4">
    <w:name w:val="LONLegal1_L4"/>
    <w:basedOn w:val="Normal"/>
    <w:pPr>
      <w:numPr>
        <w:ilvl w:val="3"/>
        <w:numId w:val="1"/>
      </w:numPr>
      <w:autoSpaceDE w:val="0"/>
      <w:spacing w:after="220" w:line="240" w:lineRule="auto"/>
      <w:jc w:val="both"/>
      <w:outlineLvl w:val="3"/>
    </w:pPr>
    <w:rPr>
      <w:rFonts w:ascii="Times New Roman" w:eastAsia="Times New Roman" w:hAnsi="Times New Roman"/>
      <w:szCs w:val="20"/>
    </w:rPr>
  </w:style>
  <w:style w:type="paragraph" w:customStyle="1" w:styleId="LONLegal1L5">
    <w:name w:val="LONLegal1_L5"/>
    <w:basedOn w:val="Normal"/>
    <w:pPr>
      <w:numPr>
        <w:ilvl w:val="4"/>
        <w:numId w:val="1"/>
      </w:numPr>
      <w:autoSpaceDE w:val="0"/>
      <w:spacing w:after="220" w:line="240" w:lineRule="auto"/>
      <w:jc w:val="both"/>
      <w:outlineLvl w:val="4"/>
    </w:pPr>
    <w:rPr>
      <w:rFonts w:ascii="Times New Roman" w:eastAsia="Times New Roman" w:hAnsi="Times New Roman"/>
      <w:szCs w:val="20"/>
    </w:rPr>
  </w:style>
  <w:style w:type="paragraph" w:customStyle="1" w:styleId="LONLegal1L6">
    <w:name w:val="LONLegal1_L6"/>
    <w:basedOn w:val="Normal"/>
    <w:pPr>
      <w:numPr>
        <w:ilvl w:val="5"/>
        <w:numId w:val="1"/>
      </w:numPr>
      <w:autoSpaceDE w:val="0"/>
      <w:spacing w:after="220" w:line="240" w:lineRule="auto"/>
      <w:jc w:val="both"/>
      <w:outlineLvl w:val="5"/>
    </w:pPr>
    <w:rPr>
      <w:rFonts w:ascii="Times New Roman" w:eastAsia="Times New Roman" w:hAnsi="Times New Roman"/>
      <w:b/>
      <w:szCs w:val="20"/>
    </w:rPr>
  </w:style>
  <w:style w:type="paragraph" w:customStyle="1" w:styleId="LONLegal1L7">
    <w:name w:val="LONLegal1_L7"/>
    <w:basedOn w:val="LONLegal1L6"/>
    <w:pPr>
      <w:numPr>
        <w:ilvl w:val="6"/>
      </w:numPr>
      <w:tabs>
        <w:tab w:val="left" w:pos="-4248"/>
        <w:tab w:val="left" w:pos="-2"/>
      </w:tabs>
      <w:outlineLvl w:val="6"/>
    </w:pPr>
    <w:rPr>
      <w:b w:val="0"/>
    </w:rPr>
  </w:style>
  <w:style w:type="paragraph" w:customStyle="1" w:styleId="LONLegal1L8">
    <w:name w:val="LONLegal1_L8"/>
    <w:basedOn w:val="LONLegal1L7"/>
    <w:pPr>
      <w:numPr>
        <w:ilvl w:val="7"/>
      </w:numPr>
      <w:tabs>
        <w:tab w:val="clear" w:pos="-4248"/>
        <w:tab w:val="left" w:pos="-2261"/>
        <w:tab w:val="left" w:pos="1985"/>
      </w:tabs>
      <w:outlineLvl w:val="7"/>
    </w:pPr>
  </w:style>
  <w:style w:type="paragraph" w:customStyle="1" w:styleId="LONLegal1L9">
    <w:name w:val="LONLegal1_L9"/>
    <w:basedOn w:val="LONLegal1L8"/>
    <w:pPr>
      <w:numPr>
        <w:ilvl w:val="8"/>
      </w:numPr>
      <w:tabs>
        <w:tab w:val="clear" w:pos="-2261"/>
        <w:tab w:val="clear" w:pos="1985"/>
        <w:tab w:val="left" w:pos="-3255"/>
        <w:tab w:val="left" w:pos="-996"/>
        <w:tab w:val="left" w:pos="991"/>
      </w:tabs>
      <w:spacing w:after="0"/>
      <w:outlineLvl w:val="8"/>
    </w:pPr>
  </w:style>
  <w:style w:type="character" w:styleId="Hyperlink">
    <w:name w:val="Hyperlink"/>
    <w:basedOn w:val="DefaultParagraphFont"/>
    <w:rPr>
      <w:rFonts w:cs="Times New Roman"/>
      <w:color w:val="0000FF"/>
      <w:u w:val="single"/>
    </w:rPr>
  </w:style>
  <w:style w:type="paragraph" w:styleId="BodyText2">
    <w:name w:val="Body Text 2"/>
    <w:basedOn w:val="Normal"/>
    <w:pPr>
      <w:spacing w:after="120" w:line="480" w:lineRule="auto"/>
    </w:pPr>
  </w:style>
  <w:style w:type="character" w:customStyle="1" w:styleId="BodyText2Char">
    <w:name w:val="Body Text 2 Char"/>
    <w:basedOn w:val="DefaultParagraphFont"/>
    <w:rPr>
      <w:rFonts w:ascii="Calibri" w:eastAsia="Calibri" w:hAnsi="Calibri" w:cs="Times New Roman"/>
      <w:lang w:val="en-US"/>
    </w:rPr>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B3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scap.c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Sonia Malik</cp:lastModifiedBy>
  <cp:revision>2</cp:revision>
  <dcterms:created xsi:type="dcterms:W3CDTF">2021-03-18T09:40:00Z</dcterms:created>
  <dcterms:modified xsi:type="dcterms:W3CDTF">2021-03-18T09:40:00Z</dcterms:modified>
</cp:coreProperties>
</file>